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clear" w:pos="1440"/>
          <w:tab w:val="clear" w:pos="5670"/>
        </w:tabs>
        <w:spacing w:beforeLines="0" w:afterLines="0"/>
        <w:jc w:val="center"/>
        <w:rPr>
          <w:rFonts w:hint="eastAsia" w:ascii="Arial" w:hAnsi="Arial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Toc12353"/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en-US" w:eastAsia="zh-CN"/>
        </w:rPr>
        <w:t>第三章 采购需求</w:t>
      </w:r>
      <w:bookmarkEnd w:id="0"/>
    </w:p>
    <w:p>
      <w:pPr>
        <w:spacing w:line="360" w:lineRule="auto"/>
        <w:ind w:firstLine="422" w:firstLineChars="200"/>
        <w:rPr>
          <w:rFonts w:hint="default" w:ascii="宋体" w:hAnsi="宋体" w:eastAsia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本项目采购标的的所属行业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：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其他未列明行业</w:t>
      </w:r>
    </w:p>
    <w:p>
      <w:pPr>
        <w:spacing w:line="360" w:lineRule="auto"/>
        <w:ind w:firstLine="422" w:firstLineChars="200"/>
        <w:rPr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一、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商务要求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：</w:t>
      </w:r>
    </w:p>
    <w:tbl>
      <w:tblPr>
        <w:tblStyle w:val="11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391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cs="Wingdings" w:asciiTheme="minorEastAsia" w:hAnsi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cs="Wingdings" w:asciiTheme="minorEastAsia" w:hAnsiTheme="minorEastAsia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91" w:type="dxa"/>
            <w:vAlign w:val="center"/>
          </w:tcPr>
          <w:p>
            <w:pPr>
              <w:pStyle w:val="9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  <w:highlight w:val="none"/>
              </w:rPr>
              <w:t>条款名称</w:t>
            </w:r>
          </w:p>
        </w:tc>
        <w:tc>
          <w:tcPr>
            <w:tcW w:w="5170" w:type="dxa"/>
            <w:vAlign w:val="center"/>
          </w:tcPr>
          <w:p>
            <w:pPr>
              <w:pStyle w:val="9"/>
              <w:jc w:val="center"/>
              <w:rPr>
                <w:rFonts w:cs="Wingdings" w:asciiTheme="minorEastAsia" w:hAnsi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cs="Wingdings" w:asciiTheme="minorEastAsia" w:hAnsiTheme="minorEastAsia"/>
                <w:b/>
                <w:color w:val="auto"/>
                <w:sz w:val="24"/>
                <w:highlight w:val="none"/>
              </w:rPr>
              <w:t>具体要求内容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付款方式</w:t>
            </w:r>
          </w:p>
        </w:tc>
        <w:tc>
          <w:tcPr>
            <w:tcW w:w="5170" w:type="dxa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  <w:t>合同签订后支付合同价款的40%作为预付款，在预付款支付之前，成交人须向采购人提供同等金额的预付款保函；验收合格后一次性付清剩余合同价款。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服务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地点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安庆职业技术学院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服务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期限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自2024年3月至2024年7月（服务期满后，经采购人考核良好，在保持总费用不变，年度预算能保障的前提下，经甲乙双方同意，方可续签下一年度合同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续签不超过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次）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eastAsia="zh-CN"/>
              </w:rPr>
              <w:t>。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pStyle w:val="4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/>
          <w:bCs/>
          <w:color w:val="auto"/>
          <w:szCs w:val="24"/>
          <w:highlight w:val="none"/>
          <w:lang w:val="en-US" w:eastAsia="zh-CN"/>
        </w:rPr>
      </w:pPr>
      <w:r>
        <w:rPr>
          <w:rFonts w:hint="eastAsia"/>
          <w:bCs/>
          <w:color w:val="auto"/>
          <w:szCs w:val="24"/>
          <w:highlight w:val="none"/>
          <w:lang w:val="en-US" w:eastAsia="zh-CN"/>
        </w:rPr>
        <w:t>服务内容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安庆职业技术学院2024年高考招生宣传服务采购，</w:t>
      </w:r>
      <w:r>
        <w:rPr>
          <w:rFonts w:hint="eastAsia"/>
          <w:color w:val="auto"/>
          <w:highlight w:val="none"/>
          <w:lang w:val="en-US" w:eastAsia="zh-CN"/>
        </w:rPr>
        <w:t>主要内容为安庆职业技术学院2024年分类和普通高考考试招生宣传。</w:t>
      </w:r>
    </w:p>
    <w:p>
      <w:pPr>
        <w:pStyle w:val="4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服务需求</w:t>
      </w:r>
    </w:p>
    <w:tbl>
      <w:tblPr>
        <w:tblStyle w:val="11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1108"/>
        <w:gridCol w:w="1005"/>
        <w:gridCol w:w="5341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服务名称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服务内容</w:t>
            </w:r>
          </w:p>
        </w:tc>
        <w:tc>
          <w:tcPr>
            <w:tcW w:w="3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服务要求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55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安庆职业技术学院2024年高考招生宣传服务采购（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分类和普高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线上精准推广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智能问答系统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供应商自营或战略合作的高考信息相关平台，涵盖高校的基本信息、历年招录分数、招生专业等信息，可以较好地为采购方进行宣传推广。全媒体矩阵宣发：微信公众号、线上自媒体矩阵、各大门户发布平台、自有APP承载、各大社群分发等，将微主页触达各位考生及家长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.学校招生简章创意图文设计，制作短视频。精细化定向维度，多种运算方式精细化锁定目标人群，支持按照投放设置（广告位置、创意样式等）进行查看，支持按照用户特征（性别、年龄段、地域等）进行查看，保证播放量：30000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点赞: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000 转发：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00以上。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.创意H5:根据高校特点，把学校概况、院系专业、招生简章、历年分数、学校的基本情况、宣传视频、招生信息、校园风景、智能问答等模块融为一体。以画面感丰富、互动性趣味性强的动态页面实现传达，并对高招院校网站、微信号进行强势导流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3.PC+移动端：首页热搜，分类考试学校列表右侧排名，分类考试首页热门院校，资讯页推荐展示，消息推送。</w:t>
            </w:r>
          </w:p>
          <w:p>
            <w:pPr>
              <w:spacing w:after="12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4.共建极具高校特色的线上/线下栏目分类栏目短视频，包装两个热门专业，B站、抖音、视频号、公众号宣发推文内容运营。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5.微信朋友圈精准定投。在202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年分类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和普通高考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期间将学校招生宣传信息精准定投到目标生源和家 长的微信朋友圈；腾讯后台按曝光次数收费，每浏览 3 秒-5 分钟计一次曝光，合计 曝光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75 万次；根据学校需求指定条件投放：指定条件如 18-19 周岁的学生群体或者 40-50 周岁的家长群体； 关键词：202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年分类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和普高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考试招生，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高考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志愿填报，安徽高职招生等；地域：安徽省或指定地市、县、高中。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智能问答系统，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集成到学校WEB和微信公众号，可实现考生智能问答、留言、实时问答功能，具备完整问答后台，方便统计考生来源及问答内容等，使用年限一年。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移动端门户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（微信小程序）3.0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1、新媒体平台：主流新媒体服务端。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2、外部资源保障：微信品牌区展示。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3、AR视觉理念、VR支持AI支持、一站式支持。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4、千校千面：界面、色彩、内容结构、外部链接全部DIY设计。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功能优势：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1、45大基础功能可延展至上百种用法。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、功能简介：学校简介、品牌标签、师资力量、院系专业、知名校友、地图位置、新闻资讯、校园视频、校园图片、学子风采、院校新闻、招生资讯、常见问题、在线留言、一键拨号、开屏广告、渠道推广、VR校园、招生计划 、历年分数、 录取查询、录取喜报、生涯规划、录取概率 、表单、外部链接、数据分析。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专业探秘视频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《学长学姐带你看专业》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以学长学姐的第一视角探秘专业学习及科研生活，带领观众参观重点实验室/实践实训中心，深度体验研究/实训活动，分享专业学习趣闻与校园日常。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形式：VLOG形式  时长：1.5-2min以内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高招情报局栏目视频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以趣味与专业兼顾的形式讲解最新最权威的高招热点（60-90s)左右每期拆解一个家长与学生最关心的高招情报。情报以四大板块展开：报考指南请查收、专业解读、高考日报、院校TALK。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视频号，抖音，B站，新媒体账号微信公众号转发推送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APP推广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高招类APP（总下载量不低于一千万）。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针对安徽省内考生进行如下宣传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1.定向推送我校招生简章；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2.精准推送弹框信息1次。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线上直播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安徽省高职专场线上招生咨询会不少于3场。直播预告和正式直播时排名位于前五，直播前预告并由高中通知到学生，确保每场参与人数不少于3000人次。提供直播流程、技术培训指导，直播结束后提供分析报告。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纸媒宣传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1.发放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不少于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10万册到安徽省一百所以上的高中和中职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2.招生宣传展牌进校园，招生宣传展牌（30cm*50cm）进校园，悬挂于高三年级楼道、 食堂等显著位置。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至少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50块。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进高中路线宣传</w:t>
            </w:r>
          </w:p>
        </w:tc>
        <w:tc>
          <w:tcPr>
            <w:tcW w:w="3159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1.招生咨询会（分类7组+秋招4组）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2.线上咨询会（1场）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3.招生海报进中学（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期）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4.利用安装在安徽省内高中的电子屏对高校招生信息进行滚动式投放，图片、视频每天滚动10次（每次30秒），投放数量不低于260所高中。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6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验收报告</w:t>
            </w:r>
          </w:p>
        </w:tc>
        <w:tc>
          <w:tcPr>
            <w:tcW w:w="3159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项目完成后须提供完整的项目服务报告。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1项</w:t>
            </w:r>
          </w:p>
        </w:tc>
      </w:tr>
    </w:tbl>
    <w:p>
      <w:pPr>
        <w:numPr>
          <w:ilvl w:val="0"/>
          <w:numId w:val="0"/>
        </w:numPr>
        <w:ind w:firstLine="420"/>
        <w:rPr>
          <w:rFonts w:hint="eastAsia"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备注：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响应人应按照谈判文件要求提供证明材料。若响应人提供了竞争性谈判文件未要求的证明材料，谈判小组将不予评审。</w:t>
      </w:r>
    </w:p>
    <w:p>
      <w:pPr>
        <w:numPr>
          <w:ilvl w:val="0"/>
          <w:numId w:val="0"/>
        </w:numPr>
        <w:ind w:firstLine="42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响应人提供的证明材料须清晰的反映评审内容，如因材料模糊不清，导致谈判小组无法辨认的，谈判小组可以不予认可，一切后果由响应人自行承担。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6135DA"/>
    <w:multiLevelType w:val="singleLevel"/>
    <w:tmpl w:val="886135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7C7A63"/>
    <w:multiLevelType w:val="singleLevel"/>
    <w:tmpl w:val="B17C7A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TM2OTgzZWYzMDE3ZjJjZDgyMzM1Y2M5NTYyZGIifQ=="/>
  </w:docVars>
  <w:rsids>
    <w:rsidRoot w:val="16A43553"/>
    <w:rsid w:val="16A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1440"/>
        <w:tab w:val="left" w:pos="5670"/>
      </w:tabs>
      <w:spacing w:beforeLines="100" w:afterLines="100"/>
      <w:ind w:firstLine="2890" w:firstLineChars="1203"/>
      <w:outlineLvl w:val="0"/>
    </w:pPr>
    <w:rPr>
      <w:rFonts w:ascii="黑体" w:eastAsia="黑体"/>
      <w:b/>
      <w:kern w:val="44"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keepLines/>
      <w:shd w:val="clear" w:color="auto" w:fill="FFFFFF"/>
      <w:tabs>
        <w:tab w:val="left" w:pos="2730"/>
      </w:tabs>
      <w:wordWrap w:val="0"/>
      <w:spacing w:line="360" w:lineRule="exact"/>
      <w:outlineLvl w:val="2"/>
    </w:pPr>
    <w:rPr>
      <w:rFonts w:ascii="宋体" w:hAnsi="宋体"/>
      <w:b/>
      <w:shd w:val="clear" w:color="auto" w:fill="FFFFFF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autoRedefine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5">
    <w:name w:val="Normal Indent"/>
    <w:basedOn w:val="1"/>
    <w:next w:val="6"/>
    <w:qFormat/>
    <w:uiPriority w:val="0"/>
    <w:pPr>
      <w:ind w:firstLine="420"/>
    </w:pPr>
  </w:style>
  <w:style w:type="paragraph" w:styleId="6">
    <w:name w:val="Body Text First Indent 2"/>
    <w:basedOn w:val="7"/>
    <w:next w:val="1"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qFormat/>
    <w:uiPriority w:val="0"/>
    <w:pPr>
      <w:ind w:firstLine="645"/>
    </w:pPr>
    <w:rPr>
      <w:sz w:val="20"/>
    </w:r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2024-02-08T02:50:00Z</dcterms:created>
  <dc:creator>叶叶叶</dc:creator>
  <cp:lastModifiedBy>叶叶叶</cp:lastModifiedBy>
  <dcterms:modified xsi:type="dcterms:W3CDTF">2024-02-08T02:50:51Z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D439DEFF92864370B5DDC506A087C75B_11</vt:lpwstr>
  </property>
</Properties>
</file>